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1D2277A3" w:rsidR="00987C82" w:rsidRDefault="00987C82" w:rsidP="003B7A33">
      <w:pPr>
        <w:spacing w:line="360" w:lineRule="auto"/>
        <w:ind w:left="425"/>
        <w:rPr>
          <w:rFonts w:ascii="Arial Rounded MT Bold" w:hAnsi="Arial Rounded MT Bold" w:cs="Arial"/>
          <w:sz w:val="26"/>
          <w:szCs w:val="26"/>
        </w:rPr>
      </w:pPr>
    </w:p>
    <w:p w14:paraId="149F0EDD" w14:textId="5E8E38E8" w:rsidR="00227B50" w:rsidRPr="00656588" w:rsidRDefault="00227B50" w:rsidP="00227B50">
      <w:pPr>
        <w:spacing w:line="360" w:lineRule="auto"/>
        <w:ind w:left="425"/>
        <w:rPr>
          <w:rFonts w:ascii="Arial Rounded MT Bold" w:hAnsi="Arial Rounded MT Bold"/>
          <w:sz w:val="26"/>
          <w:szCs w:val="26"/>
        </w:rPr>
      </w:pPr>
      <w:r w:rsidRPr="00045D24">
        <w:rPr>
          <w:rFonts w:ascii="Arial Rounded MT Bold" w:hAnsi="Arial Rounded MT Bold"/>
          <w:sz w:val="26"/>
          <w:szCs w:val="26"/>
        </w:rPr>
        <w:t xml:space="preserve">Stuttgart </w:t>
      </w:r>
      <w:r w:rsidRPr="00656588">
        <w:rPr>
          <w:rFonts w:ascii="Arial Rounded MT Bold" w:hAnsi="Arial Rounded MT Bold"/>
          <w:sz w:val="26"/>
          <w:szCs w:val="26"/>
        </w:rPr>
        <w:t xml:space="preserve">mal </w:t>
      </w:r>
      <w:r w:rsidR="00270B90" w:rsidRPr="00656588">
        <w:rPr>
          <w:rFonts w:ascii="Arial Rounded MT Bold" w:hAnsi="Arial Rounded MT Bold"/>
          <w:sz w:val="26"/>
          <w:szCs w:val="26"/>
        </w:rPr>
        <w:t>drei</w:t>
      </w:r>
    </w:p>
    <w:p w14:paraId="3509FC84" w14:textId="77777777" w:rsidR="00227B50" w:rsidRPr="00FF4363" w:rsidRDefault="00227B50" w:rsidP="00227B50">
      <w:pPr>
        <w:spacing w:line="360" w:lineRule="auto"/>
        <w:ind w:left="425"/>
        <w:rPr>
          <w:rFonts w:ascii="Arial Rounded MT Bold" w:hAnsi="Arial Rounded MT Bold"/>
          <w:strike/>
          <w:sz w:val="20"/>
        </w:rPr>
      </w:pPr>
      <w:r w:rsidRPr="00656588">
        <w:rPr>
          <w:rFonts w:ascii="Arial Rounded MT Bold" w:hAnsi="Arial Rounded MT Bold"/>
          <w:sz w:val="20"/>
        </w:rPr>
        <w:t xml:space="preserve">Mit der Stuttgart </w:t>
      </w:r>
      <w:proofErr w:type="spellStart"/>
      <w:r w:rsidRPr="00656588">
        <w:rPr>
          <w:rFonts w:ascii="Arial Rounded MT Bold" w:hAnsi="Arial Rounded MT Bold"/>
          <w:sz w:val="20"/>
        </w:rPr>
        <w:t>Citytour</w:t>
      </w:r>
      <w:proofErr w:type="spellEnd"/>
      <w:r w:rsidRPr="00656588">
        <w:rPr>
          <w:rFonts w:ascii="Arial Rounded MT Bold" w:hAnsi="Arial Rounded MT Bold"/>
          <w:sz w:val="20"/>
        </w:rPr>
        <w:t xml:space="preserve"> </w:t>
      </w:r>
      <w:r w:rsidRPr="00FF4363">
        <w:rPr>
          <w:rFonts w:ascii="Arial Rounded MT Bold" w:hAnsi="Arial Rounded MT Bold"/>
          <w:sz w:val="20"/>
        </w:rPr>
        <w:t>die Stadt entdecken</w:t>
      </w:r>
    </w:p>
    <w:p w14:paraId="5B2931B0" w14:textId="77777777" w:rsidR="00227B50" w:rsidRPr="00E32ED7" w:rsidRDefault="00227B50" w:rsidP="00227B50">
      <w:pPr>
        <w:spacing w:line="360" w:lineRule="auto"/>
        <w:rPr>
          <w:rFonts w:ascii="Arial" w:hAnsi="Arial" w:cs="Arial"/>
          <w:sz w:val="20"/>
        </w:rPr>
      </w:pPr>
    </w:p>
    <w:p w14:paraId="56640FB1" w14:textId="1312E695" w:rsidR="00227B50" w:rsidRPr="00E32ED7" w:rsidRDefault="00227B50" w:rsidP="00227B50">
      <w:pPr>
        <w:spacing w:line="360" w:lineRule="auto"/>
        <w:ind w:left="425"/>
        <w:rPr>
          <w:rFonts w:ascii="Arial" w:hAnsi="Arial" w:cs="Arial"/>
          <w:sz w:val="20"/>
        </w:rPr>
      </w:pPr>
      <w:r w:rsidRPr="00E32ED7">
        <w:rPr>
          <w:rFonts w:ascii="Arial" w:hAnsi="Arial" w:cs="Arial"/>
          <w:sz w:val="20"/>
        </w:rPr>
        <w:t xml:space="preserve">Die erfolgreiche Stuttgart </w:t>
      </w:r>
      <w:proofErr w:type="spellStart"/>
      <w:r w:rsidRPr="00E32ED7">
        <w:rPr>
          <w:rFonts w:ascii="Arial" w:hAnsi="Arial" w:cs="Arial"/>
          <w:sz w:val="20"/>
        </w:rPr>
        <w:t>Citytour</w:t>
      </w:r>
      <w:proofErr w:type="spellEnd"/>
      <w:r w:rsidRPr="00E32ED7">
        <w:rPr>
          <w:rFonts w:ascii="Arial" w:hAnsi="Arial" w:cs="Arial"/>
          <w:sz w:val="20"/>
        </w:rPr>
        <w:t xml:space="preserve"> hat sich längst zu einem touristischen Aushängeschild etabliert und besitzt mit den roten Mercedes-Benz Bussen und dem roten Elektrobus eine hohe Symbolkraft für Stuttgart. Auf drei klassischen Rundfahrten können die Fahrgäste die Stadt im Hop on Hop off-System kennenlernen.</w:t>
      </w:r>
    </w:p>
    <w:p w14:paraId="57BAE293" w14:textId="77777777" w:rsidR="00227B50" w:rsidRPr="00E32ED7" w:rsidRDefault="00227B50" w:rsidP="00227B50">
      <w:pPr>
        <w:spacing w:line="360" w:lineRule="auto"/>
        <w:ind w:left="425"/>
        <w:rPr>
          <w:rFonts w:ascii="Arial" w:hAnsi="Arial" w:cs="Arial"/>
          <w:sz w:val="20"/>
        </w:rPr>
      </w:pPr>
    </w:p>
    <w:p w14:paraId="3793031C" w14:textId="7FE64DF8" w:rsidR="00227B50" w:rsidRPr="00542AA2" w:rsidRDefault="00227B50" w:rsidP="00227B50">
      <w:pPr>
        <w:spacing w:line="360" w:lineRule="auto"/>
        <w:ind w:left="425"/>
        <w:rPr>
          <w:rFonts w:ascii="Arial" w:hAnsi="Arial" w:cs="Arial"/>
          <w:sz w:val="20"/>
        </w:rPr>
      </w:pPr>
      <w:r w:rsidRPr="00E32ED7">
        <w:rPr>
          <w:rFonts w:ascii="Arial" w:hAnsi="Arial" w:cs="Arial"/>
          <w:sz w:val="20"/>
        </w:rPr>
        <w:t>Die roten Cabrio-Doppeldecker-Busse der Marke Mercedes-Benz laden in der Geburtsstadt des Automobils zu einer Stadtrundfahrt der besonderen Art ein. Im Hop on Hop off-Prinzip können Besucher</w:t>
      </w:r>
      <w:r w:rsidR="00757ECD" w:rsidRPr="00542AA2">
        <w:rPr>
          <w:rFonts w:ascii="Arial" w:hAnsi="Arial" w:cs="Arial"/>
          <w:sz w:val="20"/>
        </w:rPr>
        <w:t>innen</w:t>
      </w:r>
      <w:r w:rsidRPr="00542AA2">
        <w:rPr>
          <w:rFonts w:ascii="Arial" w:hAnsi="Arial" w:cs="Arial"/>
          <w:sz w:val="20"/>
        </w:rPr>
        <w:t xml:space="preserve"> </w:t>
      </w:r>
      <w:r w:rsidR="00CC07E1" w:rsidRPr="00542AA2">
        <w:rPr>
          <w:rFonts w:ascii="Arial" w:hAnsi="Arial" w:cs="Arial"/>
          <w:sz w:val="20"/>
        </w:rPr>
        <w:t xml:space="preserve">und Besucher </w:t>
      </w:r>
      <w:r w:rsidRPr="00542AA2">
        <w:rPr>
          <w:rFonts w:ascii="Arial" w:hAnsi="Arial" w:cs="Arial"/>
          <w:sz w:val="20"/>
        </w:rPr>
        <w:t xml:space="preserve">auf der Blauen und Grünen Tour die Stadt individuell erkunden. </w:t>
      </w:r>
    </w:p>
    <w:p w14:paraId="1DEB1D9E" w14:textId="7B50905E" w:rsidR="00227B50" w:rsidRPr="00E32ED7" w:rsidRDefault="00227B50" w:rsidP="00227B50">
      <w:pPr>
        <w:spacing w:line="360" w:lineRule="auto"/>
        <w:ind w:left="425"/>
        <w:rPr>
          <w:rFonts w:ascii="Arial" w:hAnsi="Arial" w:cs="Arial"/>
          <w:sz w:val="20"/>
        </w:rPr>
      </w:pPr>
      <w:r w:rsidRPr="00542AA2">
        <w:rPr>
          <w:rFonts w:ascii="Arial" w:hAnsi="Arial" w:cs="Arial"/>
          <w:sz w:val="20"/>
        </w:rPr>
        <w:t xml:space="preserve">Die </w:t>
      </w:r>
      <w:r w:rsidRPr="00542AA2">
        <w:rPr>
          <w:rFonts w:ascii="Arial Rounded MT Bold" w:hAnsi="Arial Rounded MT Bold" w:cs="Arial"/>
          <w:sz w:val="20"/>
        </w:rPr>
        <w:t>Blau</w:t>
      </w:r>
      <w:r w:rsidRPr="00E32ED7">
        <w:rPr>
          <w:rFonts w:ascii="Arial Rounded MT Bold" w:hAnsi="Arial Rounded MT Bold" w:cs="Arial"/>
          <w:sz w:val="20"/>
        </w:rPr>
        <w:t>e Tour</w:t>
      </w:r>
      <w:r w:rsidRPr="00E32ED7">
        <w:rPr>
          <w:rFonts w:ascii="Arial" w:hAnsi="Arial" w:cs="Arial"/>
          <w:sz w:val="20"/>
        </w:rPr>
        <w:t xml:space="preserve"> (Einführung 2014) dauert rund 100 Minuten und führt an den wichtigsten Stuttgarter Sehenswürdigkeiten – dem Schlossplatz, dem </w:t>
      </w:r>
      <w:proofErr w:type="gramStart"/>
      <w:r w:rsidRPr="00E32ED7">
        <w:rPr>
          <w:rFonts w:ascii="Arial" w:hAnsi="Arial" w:cs="Arial"/>
          <w:sz w:val="20"/>
        </w:rPr>
        <w:t>Mercedes-Benz Museum</w:t>
      </w:r>
      <w:proofErr w:type="gramEnd"/>
      <w:r w:rsidRPr="00E32ED7">
        <w:rPr>
          <w:rFonts w:ascii="Arial" w:hAnsi="Arial" w:cs="Arial"/>
          <w:sz w:val="20"/>
        </w:rPr>
        <w:t xml:space="preserve">, den Weinbergen und der </w:t>
      </w:r>
      <w:proofErr w:type="spellStart"/>
      <w:r w:rsidRPr="00E32ED7">
        <w:rPr>
          <w:rFonts w:ascii="Arial" w:hAnsi="Arial" w:cs="Arial"/>
          <w:sz w:val="20"/>
        </w:rPr>
        <w:t>Weissenhofsiedlung</w:t>
      </w:r>
      <w:proofErr w:type="spellEnd"/>
      <w:r w:rsidRPr="00E32ED7">
        <w:rPr>
          <w:rFonts w:ascii="Arial" w:hAnsi="Arial" w:cs="Arial"/>
          <w:sz w:val="20"/>
        </w:rPr>
        <w:t xml:space="preserve"> – vorbei. </w:t>
      </w:r>
      <w:r w:rsidR="000D386D" w:rsidRPr="00E32ED7">
        <w:rPr>
          <w:rFonts w:ascii="Arial" w:hAnsi="Arial" w:cs="Arial"/>
          <w:sz w:val="20"/>
        </w:rPr>
        <w:t>Acht</w:t>
      </w:r>
      <w:r w:rsidRPr="00E32ED7">
        <w:rPr>
          <w:rFonts w:ascii="Arial" w:hAnsi="Arial" w:cs="Arial"/>
          <w:sz w:val="20"/>
        </w:rPr>
        <w:t xml:space="preserve"> Haltestellen liegen auf der Route der Blauen Tour. </w:t>
      </w:r>
    </w:p>
    <w:p w14:paraId="5FDC0512" w14:textId="5CBF5797" w:rsidR="00227B50" w:rsidRPr="00542AA2" w:rsidRDefault="00227B50" w:rsidP="00227B50">
      <w:pPr>
        <w:spacing w:line="360" w:lineRule="auto"/>
        <w:ind w:left="425"/>
        <w:rPr>
          <w:rFonts w:ascii="Arial" w:hAnsi="Arial" w:cs="Arial"/>
          <w:sz w:val="20"/>
        </w:rPr>
      </w:pPr>
      <w:r w:rsidRPr="00E32ED7">
        <w:rPr>
          <w:rFonts w:ascii="Arial" w:hAnsi="Arial" w:cs="Arial"/>
          <w:sz w:val="20"/>
        </w:rPr>
        <w:t xml:space="preserve">Hoch hinaus geht es auf der </w:t>
      </w:r>
      <w:r w:rsidRPr="00E32ED7">
        <w:rPr>
          <w:rFonts w:ascii="Arial Rounded MT Bold" w:hAnsi="Arial Rounded MT Bold" w:cs="Arial"/>
          <w:sz w:val="20"/>
        </w:rPr>
        <w:t>Grünen Tour</w:t>
      </w:r>
      <w:r w:rsidRPr="00E32ED7">
        <w:rPr>
          <w:rFonts w:ascii="Arial" w:hAnsi="Arial" w:cs="Arial"/>
          <w:sz w:val="20"/>
        </w:rPr>
        <w:t xml:space="preserve">: Seit 2017 drehen die roten Cabrio-Doppeldecker ihre Runden durch den Stuttgarter Süden und Westen. Acht Haltepunkte werden während der rund einstündigen Rundfahrt angefahren. Dort kann nach Belieben aus- und wieder eingestiegen werden. Auch der Stuttgarter Fernsehturm, das Wahrzeichen der Stadt, ist Teil dieser </w:t>
      </w:r>
      <w:proofErr w:type="spellStart"/>
      <w:r w:rsidRPr="00E32ED7">
        <w:rPr>
          <w:rFonts w:ascii="Arial" w:hAnsi="Arial" w:cs="Arial"/>
          <w:sz w:val="20"/>
        </w:rPr>
        <w:t>Citytour</w:t>
      </w:r>
      <w:proofErr w:type="spellEnd"/>
      <w:r w:rsidRPr="00E32ED7">
        <w:rPr>
          <w:rFonts w:ascii="Arial" w:hAnsi="Arial" w:cs="Arial"/>
          <w:sz w:val="20"/>
        </w:rPr>
        <w:t xml:space="preserve">-Route. Die Grüne Tour verkehrt im Zeitraum von </w:t>
      </w:r>
      <w:r w:rsidR="000D386D" w:rsidRPr="00E32ED7">
        <w:rPr>
          <w:rFonts w:ascii="Arial" w:hAnsi="Arial" w:cs="Arial"/>
          <w:sz w:val="20"/>
        </w:rPr>
        <w:t xml:space="preserve">April </w:t>
      </w:r>
      <w:r w:rsidRPr="00E32ED7">
        <w:rPr>
          <w:rFonts w:ascii="Arial" w:hAnsi="Arial" w:cs="Arial"/>
          <w:sz w:val="20"/>
        </w:rPr>
        <w:t xml:space="preserve">bis </w:t>
      </w:r>
      <w:r w:rsidR="00910FD1" w:rsidRPr="00E32ED7">
        <w:rPr>
          <w:rFonts w:ascii="Arial" w:hAnsi="Arial" w:cs="Arial"/>
          <w:sz w:val="20"/>
        </w:rPr>
        <w:t xml:space="preserve">Anfang </w:t>
      </w:r>
      <w:r w:rsidR="00910FD1" w:rsidRPr="00542AA2">
        <w:rPr>
          <w:rFonts w:ascii="Arial" w:hAnsi="Arial" w:cs="Arial"/>
          <w:sz w:val="20"/>
        </w:rPr>
        <w:t>November</w:t>
      </w:r>
      <w:r w:rsidRPr="00542AA2">
        <w:rPr>
          <w:rFonts w:ascii="Arial" w:hAnsi="Arial" w:cs="Arial"/>
          <w:sz w:val="20"/>
        </w:rPr>
        <w:t xml:space="preserve">. </w:t>
      </w:r>
    </w:p>
    <w:p w14:paraId="16BB791B" w14:textId="77777777" w:rsidR="00227B50" w:rsidRPr="00542AA2" w:rsidRDefault="00227B50" w:rsidP="00227B50">
      <w:pPr>
        <w:spacing w:line="360" w:lineRule="auto"/>
        <w:ind w:left="425"/>
        <w:rPr>
          <w:rFonts w:ascii="Arial" w:hAnsi="Arial" w:cs="Arial"/>
          <w:sz w:val="20"/>
        </w:rPr>
      </w:pPr>
    </w:p>
    <w:p w14:paraId="3121B410" w14:textId="2DFB0F15" w:rsidR="00227B50" w:rsidRPr="00E32ED7" w:rsidRDefault="00227B50" w:rsidP="00227B50">
      <w:pPr>
        <w:spacing w:line="360" w:lineRule="auto"/>
        <w:ind w:left="425"/>
        <w:rPr>
          <w:rFonts w:ascii="Arial" w:hAnsi="Arial" w:cs="Arial"/>
          <w:sz w:val="20"/>
        </w:rPr>
      </w:pPr>
      <w:r w:rsidRPr="00542AA2">
        <w:rPr>
          <w:rFonts w:ascii="Arial" w:hAnsi="Arial" w:cs="Arial"/>
          <w:sz w:val="20"/>
        </w:rPr>
        <w:t xml:space="preserve">Start- und Endpunkt beider Touren ist </w:t>
      </w:r>
      <w:r w:rsidR="005F4D02" w:rsidRPr="00542AA2">
        <w:rPr>
          <w:rFonts w:ascii="Arial" w:hAnsi="Arial" w:cs="Arial"/>
          <w:sz w:val="20"/>
        </w:rPr>
        <w:t>direkt gegenüber dem Stuttgarter Hauptbahnhof an der Einfahrt zur Tiefgarage am Schlossgarten (Schillerstraße 23)</w:t>
      </w:r>
      <w:r w:rsidRPr="00542AA2">
        <w:rPr>
          <w:rFonts w:ascii="Arial" w:hAnsi="Arial" w:cs="Arial"/>
          <w:sz w:val="20"/>
        </w:rPr>
        <w:t xml:space="preserve">. Während der Fahrt punktet der Audioguide mit einem besonderen Hörerlebnis. Abrufbar ist dieser in </w:t>
      </w:r>
      <w:r w:rsidRPr="00E32ED7">
        <w:rPr>
          <w:rFonts w:ascii="Arial" w:hAnsi="Arial" w:cs="Arial"/>
          <w:sz w:val="20"/>
        </w:rPr>
        <w:t>elf Sprachen, darunter auch Schwäbisch. Eine Art Hörspiel führt die Fahrgäste in die Geschichte der Stadt ein. Und ein eigener Kinderkanal (nur auf Deutsch) sorgt für Vergnügen bei den kleinen Fahrgästen. So können nicht</w:t>
      </w:r>
      <w:r w:rsidRPr="00542AA2">
        <w:rPr>
          <w:rFonts w:ascii="Arial" w:hAnsi="Arial" w:cs="Arial"/>
          <w:sz w:val="20"/>
        </w:rPr>
        <w:t xml:space="preserve"> nur Touristinnen </w:t>
      </w:r>
      <w:r w:rsidR="005F4D02" w:rsidRPr="00542AA2">
        <w:rPr>
          <w:rFonts w:ascii="Arial" w:hAnsi="Arial" w:cs="Arial"/>
          <w:sz w:val="20"/>
        </w:rPr>
        <w:t xml:space="preserve">und Touristen </w:t>
      </w:r>
      <w:r w:rsidRPr="00542AA2">
        <w:rPr>
          <w:rFonts w:ascii="Arial" w:hAnsi="Arial" w:cs="Arial"/>
          <w:sz w:val="20"/>
        </w:rPr>
        <w:t>aus dem In- und Ausland, sondern auch Stuttgarterinnen</w:t>
      </w:r>
      <w:r w:rsidR="005F4D02" w:rsidRPr="00542AA2">
        <w:rPr>
          <w:rFonts w:ascii="Arial" w:hAnsi="Arial" w:cs="Arial"/>
          <w:sz w:val="20"/>
        </w:rPr>
        <w:t xml:space="preserve"> und Stuttgarter</w:t>
      </w:r>
      <w:r w:rsidRPr="00542AA2">
        <w:rPr>
          <w:rFonts w:ascii="Arial" w:hAnsi="Arial" w:cs="Arial"/>
          <w:sz w:val="20"/>
        </w:rPr>
        <w:t xml:space="preserve"> </w:t>
      </w:r>
      <w:r w:rsidR="005F4D02" w:rsidRPr="00542AA2">
        <w:rPr>
          <w:rFonts w:ascii="Arial" w:hAnsi="Arial" w:cs="Arial"/>
          <w:sz w:val="20"/>
        </w:rPr>
        <w:t xml:space="preserve">sowie Bewohnende </w:t>
      </w:r>
      <w:r w:rsidRPr="00542AA2">
        <w:rPr>
          <w:rFonts w:ascii="Arial" w:hAnsi="Arial" w:cs="Arial"/>
          <w:sz w:val="20"/>
        </w:rPr>
        <w:t>aus der Region die Landeshauptstadt auf neue Art und Weise kennen lern</w:t>
      </w:r>
      <w:r w:rsidRPr="00E32ED7">
        <w:rPr>
          <w:rFonts w:ascii="Arial" w:hAnsi="Arial" w:cs="Arial"/>
          <w:sz w:val="20"/>
        </w:rPr>
        <w:t xml:space="preserve">en. Eine attraktive Ergänzung zur Besichtigung der touristischen Highlights bieten die gastronomischen Angebote vor Ort. </w:t>
      </w:r>
    </w:p>
    <w:p w14:paraId="75058694" w14:textId="77777777" w:rsidR="00227B50" w:rsidRPr="00656588" w:rsidRDefault="00227B50" w:rsidP="00227B50">
      <w:pPr>
        <w:spacing w:line="360" w:lineRule="auto"/>
        <w:ind w:left="425"/>
        <w:rPr>
          <w:rFonts w:ascii="Arial" w:hAnsi="Arial" w:cs="Arial"/>
          <w:sz w:val="20"/>
        </w:rPr>
      </w:pPr>
    </w:p>
    <w:p w14:paraId="7008C184" w14:textId="137E6968" w:rsidR="00227B50" w:rsidRPr="00045D24" w:rsidRDefault="00227B50" w:rsidP="00227B50">
      <w:pPr>
        <w:spacing w:line="360" w:lineRule="auto"/>
        <w:ind w:left="425"/>
        <w:rPr>
          <w:rFonts w:ascii="Arial" w:hAnsi="Arial" w:cs="Arial"/>
          <w:sz w:val="20"/>
        </w:rPr>
      </w:pPr>
      <w:r w:rsidRPr="00656588">
        <w:rPr>
          <w:rFonts w:ascii="Arial" w:hAnsi="Arial" w:cs="Arial"/>
          <w:sz w:val="20"/>
        </w:rPr>
        <w:t xml:space="preserve">Seit 2020 dreht die saisonale </w:t>
      </w:r>
      <w:r w:rsidRPr="00656588">
        <w:rPr>
          <w:rFonts w:ascii="Arial Rounded MT Bold" w:hAnsi="Arial Rounded MT Bold" w:cs="Arial"/>
          <w:sz w:val="20"/>
        </w:rPr>
        <w:t xml:space="preserve">Stuttgart </w:t>
      </w:r>
      <w:proofErr w:type="spellStart"/>
      <w:r w:rsidRPr="00C16E8E">
        <w:rPr>
          <w:rFonts w:ascii="Arial Rounded MT Bold" w:hAnsi="Arial Rounded MT Bold" w:cs="Arial"/>
          <w:sz w:val="20"/>
        </w:rPr>
        <w:t>Weintour</w:t>
      </w:r>
      <w:proofErr w:type="spellEnd"/>
      <w:r w:rsidRPr="00C16E8E">
        <w:rPr>
          <w:rFonts w:ascii="Arial" w:hAnsi="Arial" w:cs="Arial"/>
          <w:sz w:val="20"/>
        </w:rPr>
        <w:t xml:space="preserve"> </w:t>
      </w:r>
      <w:r w:rsidR="00270B90" w:rsidRPr="00C16E8E">
        <w:rPr>
          <w:rFonts w:ascii="Arial" w:hAnsi="Arial" w:cs="Arial"/>
          <w:sz w:val="20"/>
        </w:rPr>
        <w:t xml:space="preserve">von </w:t>
      </w:r>
      <w:r w:rsidR="000D386D" w:rsidRPr="00C16E8E">
        <w:rPr>
          <w:rFonts w:ascii="Arial" w:hAnsi="Arial" w:cs="Arial"/>
          <w:sz w:val="20"/>
        </w:rPr>
        <w:t xml:space="preserve">April </w:t>
      </w:r>
      <w:r w:rsidR="00270B90" w:rsidRPr="00C16E8E">
        <w:rPr>
          <w:rFonts w:ascii="Arial" w:hAnsi="Arial" w:cs="Arial"/>
          <w:sz w:val="20"/>
        </w:rPr>
        <w:t xml:space="preserve">bis </w:t>
      </w:r>
      <w:r w:rsidR="00910FD1" w:rsidRPr="00C16E8E">
        <w:rPr>
          <w:rFonts w:ascii="Arial" w:hAnsi="Arial" w:cs="Arial"/>
          <w:sz w:val="20"/>
        </w:rPr>
        <w:t xml:space="preserve">Anfang </w:t>
      </w:r>
      <w:r w:rsidR="00910FD1" w:rsidRPr="00656588">
        <w:rPr>
          <w:rFonts w:ascii="Arial" w:hAnsi="Arial" w:cs="Arial"/>
          <w:sz w:val="20"/>
        </w:rPr>
        <w:t xml:space="preserve">November </w:t>
      </w:r>
      <w:r w:rsidRPr="00656588">
        <w:rPr>
          <w:rFonts w:ascii="Arial" w:hAnsi="Arial" w:cs="Arial"/>
          <w:sz w:val="20"/>
        </w:rPr>
        <w:t xml:space="preserve">ihre Runden durch die herrliche Weinlandschaft Stuttgarts. Die rund 35-minütige </w:t>
      </w:r>
      <w:proofErr w:type="spellStart"/>
      <w:r w:rsidRPr="00045D24">
        <w:rPr>
          <w:rFonts w:ascii="Arial" w:hAnsi="Arial" w:cs="Arial"/>
          <w:sz w:val="20"/>
        </w:rPr>
        <w:t>Weintour</w:t>
      </w:r>
      <w:proofErr w:type="spellEnd"/>
      <w:r w:rsidRPr="00045D24">
        <w:rPr>
          <w:rFonts w:ascii="Arial" w:hAnsi="Arial" w:cs="Arial"/>
          <w:sz w:val="20"/>
        </w:rPr>
        <w:t xml:space="preserve"> lässt sich ideal mit der Blauen Tour verbinden, denn von der Haltestelle </w:t>
      </w:r>
      <w:proofErr w:type="gramStart"/>
      <w:r w:rsidRPr="00045D24">
        <w:rPr>
          <w:rFonts w:ascii="Arial" w:hAnsi="Arial" w:cs="Arial"/>
          <w:sz w:val="20"/>
        </w:rPr>
        <w:t>Mercedes-Benz Museum</w:t>
      </w:r>
      <w:proofErr w:type="gramEnd"/>
      <w:r w:rsidRPr="00045D24">
        <w:rPr>
          <w:rFonts w:ascii="Arial" w:hAnsi="Arial" w:cs="Arial"/>
          <w:sz w:val="20"/>
        </w:rPr>
        <w:t xml:space="preserve"> ist ein bequemer Umstieg in den Elektrobus möglich</w:t>
      </w:r>
      <w:r w:rsidRPr="00756978">
        <w:rPr>
          <w:rFonts w:ascii="Arial" w:hAnsi="Arial" w:cs="Arial"/>
          <w:sz w:val="20"/>
        </w:rPr>
        <w:t xml:space="preserve">. An neun Haltestellen können </w:t>
      </w:r>
      <w:r w:rsidRPr="00045D24">
        <w:rPr>
          <w:rFonts w:ascii="Arial" w:hAnsi="Arial" w:cs="Arial"/>
          <w:sz w:val="20"/>
        </w:rPr>
        <w:t>Wein- und Naturliebhabe</w:t>
      </w:r>
      <w:r w:rsidR="005F4D02" w:rsidRPr="00542AA2">
        <w:rPr>
          <w:rFonts w:ascii="Arial" w:hAnsi="Arial" w:cs="Arial"/>
          <w:sz w:val="20"/>
        </w:rPr>
        <w:t>nde</w:t>
      </w:r>
      <w:r w:rsidRPr="00542AA2">
        <w:rPr>
          <w:rFonts w:ascii="Arial" w:hAnsi="Arial" w:cs="Arial"/>
          <w:sz w:val="20"/>
        </w:rPr>
        <w:t xml:space="preserve"> </w:t>
      </w:r>
      <w:r w:rsidRPr="00542AA2">
        <w:rPr>
          <w:rFonts w:ascii="Arial" w:hAnsi="Arial" w:cs="Arial"/>
          <w:sz w:val="20"/>
        </w:rPr>
        <w:lastRenderedPageBreak/>
        <w:t>jederzeit ein- und aussteigen, um verschiedene Weingüter, das Weinbaumuseum Stuttgart o</w:t>
      </w:r>
      <w:r w:rsidRPr="00045D24">
        <w:rPr>
          <w:rFonts w:ascii="Arial" w:hAnsi="Arial" w:cs="Arial"/>
          <w:sz w:val="20"/>
        </w:rPr>
        <w:t xml:space="preserve">der die Grabkapelle auf dem Württemberg zu besuchen. Im Anschluss an die </w:t>
      </w:r>
      <w:proofErr w:type="spellStart"/>
      <w:r w:rsidRPr="00045D24">
        <w:rPr>
          <w:rFonts w:ascii="Arial" w:hAnsi="Arial" w:cs="Arial"/>
          <w:sz w:val="20"/>
        </w:rPr>
        <w:t>Weintour</w:t>
      </w:r>
      <w:proofErr w:type="spellEnd"/>
      <w:r w:rsidRPr="00045D24">
        <w:rPr>
          <w:rFonts w:ascii="Arial" w:hAnsi="Arial" w:cs="Arial"/>
          <w:sz w:val="20"/>
        </w:rPr>
        <w:t xml:space="preserve"> kann die Fahrt mit der Blauen Tour fortgesetzt werden – natürlich kann die </w:t>
      </w:r>
      <w:proofErr w:type="spellStart"/>
      <w:r w:rsidRPr="00045D24">
        <w:rPr>
          <w:rFonts w:ascii="Arial" w:hAnsi="Arial" w:cs="Arial"/>
          <w:sz w:val="20"/>
        </w:rPr>
        <w:t>Weintour</w:t>
      </w:r>
      <w:proofErr w:type="spellEnd"/>
      <w:r w:rsidRPr="00045D24">
        <w:rPr>
          <w:rFonts w:ascii="Arial" w:hAnsi="Arial" w:cs="Arial"/>
          <w:sz w:val="20"/>
        </w:rPr>
        <w:t xml:space="preserve"> aber auch als eigenständige </w:t>
      </w:r>
      <w:proofErr w:type="spellStart"/>
      <w:r w:rsidRPr="00045D24">
        <w:rPr>
          <w:rFonts w:ascii="Arial" w:hAnsi="Arial" w:cs="Arial"/>
          <w:sz w:val="20"/>
        </w:rPr>
        <w:t>Citytour</w:t>
      </w:r>
      <w:proofErr w:type="spellEnd"/>
      <w:r w:rsidRPr="00045D24">
        <w:rPr>
          <w:rFonts w:ascii="Arial" w:hAnsi="Arial" w:cs="Arial"/>
          <w:sz w:val="20"/>
        </w:rPr>
        <w:t xml:space="preserve"> befahren werden. </w:t>
      </w:r>
    </w:p>
    <w:p w14:paraId="1AF4D892" w14:textId="77777777" w:rsidR="00227B50" w:rsidRPr="00045D24" w:rsidRDefault="00227B50" w:rsidP="00227B50">
      <w:pPr>
        <w:spacing w:line="360" w:lineRule="auto"/>
        <w:ind w:left="425"/>
        <w:rPr>
          <w:rFonts w:ascii="Arial" w:hAnsi="Arial" w:cs="Arial"/>
          <w:sz w:val="20"/>
        </w:rPr>
      </w:pPr>
    </w:p>
    <w:p w14:paraId="3426BD35" w14:textId="739E726A" w:rsidR="00227B50" w:rsidRPr="00045D24" w:rsidRDefault="00227B50" w:rsidP="00227B50">
      <w:pPr>
        <w:spacing w:line="360" w:lineRule="auto"/>
        <w:ind w:left="425"/>
        <w:rPr>
          <w:rFonts w:ascii="Arial" w:hAnsi="Arial" w:cs="Arial"/>
          <w:sz w:val="20"/>
        </w:rPr>
      </w:pPr>
      <w:r w:rsidRPr="00045D24">
        <w:rPr>
          <w:rFonts w:ascii="Arial" w:hAnsi="Arial" w:cs="Arial"/>
          <w:sz w:val="20"/>
        </w:rPr>
        <w:t xml:space="preserve">Ideengeber der Stuttgart </w:t>
      </w:r>
      <w:proofErr w:type="spellStart"/>
      <w:r w:rsidRPr="00045D24">
        <w:rPr>
          <w:rFonts w:ascii="Arial" w:hAnsi="Arial" w:cs="Arial"/>
          <w:sz w:val="20"/>
        </w:rPr>
        <w:t>Citytour</w:t>
      </w:r>
      <w:proofErr w:type="spellEnd"/>
      <w:r w:rsidRPr="00045D24">
        <w:rPr>
          <w:rFonts w:ascii="Arial" w:hAnsi="Arial" w:cs="Arial"/>
          <w:sz w:val="20"/>
        </w:rPr>
        <w:t xml:space="preserve"> ist die Stuttgart-</w:t>
      </w:r>
      <w:r w:rsidRPr="00542AA2">
        <w:rPr>
          <w:rFonts w:ascii="Arial" w:hAnsi="Arial" w:cs="Arial"/>
          <w:sz w:val="20"/>
        </w:rPr>
        <w:t xml:space="preserve">Marketing GmbH. Sie zeichnet verantwortlich für die Route, das Marketing sowie den Vertrieb. Als Veranstalter hat sie das Unternehmen Stuttgart </w:t>
      </w:r>
      <w:proofErr w:type="spellStart"/>
      <w:r w:rsidRPr="00542AA2">
        <w:rPr>
          <w:rFonts w:ascii="Arial" w:hAnsi="Arial" w:cs="Arial"/>
          <w:sz w:val="20"/>
        </w:rPr>
        <w:t>CityTour</w:t>
      </w:r>
      <w:proofErr w:type="spellEnd"/>
      <w:r w:rsidRPr="00542AA2">
        <w:rPr>
          <w:rFonts w:ascii="Arial" w:hAnsi="Arial" w:cs="Arial"/>
          <w:sz w:val="20"/>
        </w:rPr>
        <w:t xml:space="preserve"> der Willms Touristik GmbH &amp; Co. KG an </w:t>
      </w:r>
      <w:r w:rsidR="005F4D02" w:rsidRPr="00542AA2">
        <w:rPr>
          <w:rFonts w:ascii="Arial" w:hAnsi="Arial" w:cs="Arial"/>
          <w:sz w:val="20"/>
        </w:rPr>
        <w:t xml:space="preserve">ihrer </w:t>
      </w:r>
      <w:r w:rsidRPr="00542AA2">
        <w:rPr>
          <w:rFonts w:ascii="Arial" w:hAnsi="Arial" w:cs="Arial"/>
          <w:sz w:val="20"/>
        </w:rPr>
        <w:t xml:space="preserve">Seite. </w:t>
      </w:r>
    </w:p>
    <w:p w14:paraId="4D357691" w14:textId="77777777" w:rsidR="00227B50" w:rsidRDefault="00227B50" w:rsidP="00227B50">
      <w:pPr>
        <w:spacing w:line="360" w:lineRule="auto"/>
        <w:ind w:left="425"/>
        <w:rPr>
          <w:rFonts w:ascii="Arial" w:hAnsi="Arial" w:cs="Arial"/>
          <w:sz w:val="20"/>
        </w:rPr>
      </w:pPr>
    </w:p>
    <w:p w14:paraId="034AC682" w14:textId="77777777" w:rsidR="00542AA2" w:rsidRDefault="00542AA2" w:rsidP="00227B50">
      <w:pPr>
        <w:spacing w:line="360" w:lineRule="auto"/>
        <w:ind w:left="426"/>
        <w:rPr>
          <w:rFonts w:ascii="Arial Rounded MT Bold" w:hAnsi="Arial Rounded MT Bold" w:cs="Arial"/>
          <w:sz w:val="20"/>
        </w:rPr>
      </w:pPr>
      <w:bookmarkStart w:id="0" w:name="_Hlk90387511"/>
      <w:bookmarkStart w:id="1" w:name="_Hlk122600936"/>
    </w:p>
    <w:p w14:paraId="387E121C" w14:textId="4DDBC614" w:rsidR="00227B50" w:rsidRPr="00756978" w:rsidRDefault="00227B50" w:rsidP="00227B50">
      <w:pPr>
        <w:spacing w:line="360" w:lineRule="auto"/>
        <w:ind w:left="426"/>
        <w:rPr>
          <w:rFonts w:ascii="Arial Rounded MT Bold" w:hAnsi="Arial Rounded MT Bold" w:cs="Arial"/>
          <w:sz w:val="20"/>
        </w:rPr>
      </w:pPr>
      <w:r w:rsidRPr="00756978">
        <w:rPr>
          <w:rFonts w:ascii="Arial Rounded MT Bold" w:hAnsi="Arial Rounded MT Bold" w:cs="Arial"/>
          <w:sz w:val="20"/>
        </w:rPr>
        <w:t xml:space="preserve">Informationen zu den Preisen der Stuttgart </w:t>
      </w:r>
      <w:proofErr w:type="spellStart"/>
      <w:r w:rsidRPr="00756978">
        <w:rPr>
          <w:rFonts w:ascii="Arial Rounded MT Bold" w:hAnsi="Arial Rounded MT Bold" w:cs="Arial"/>
          <w:sz w:val="20"/>
        </w:rPr>
        <w:t>Citytour</w:t>
      </w:r>
      <w:proofErr w:type="spellEnd"/>
      <w:r w:rsidRPr="00756978">
        <w:rPr>
          <w:rFonts w:ascii="Arial Rounded MT Bold" w:hAnsi="Arial Rounded MT Bold" w:cs="Arial"/>
          <w:sz w:val="20"/>
        </w:rPr>
        <w:t>:</w:t>
      </w:r>
    </w:p>
    <w:tbl>
      <w:tblPr>
        <w:tblStyle w:val="Tabellenraster"/>
        <w:tblW w:w="5000" w:type="pct"/>
        <w:tblLayout w:type="fixed"/>
        <w:tblLook w:val="04A0" w:firstRow="1" w:lastRow="0" w:firstColumn="1" w:lastColumn="0" w:noHBand="0" w:noVBand="1"/>
      </w:tblPr>
      <w:tblGrid>
        <w:gridCol w:w="2265"/>
        <w:gridCol w:w="2265"/>
        <w:gridCol w:w="2266"/>
        <w:gridCol w:w="2266"/>
      </w:tblGrid>
      <w:tr w:rsidR="00656588" w:rsidRPr="00756978" w14:paraId="6A6849F7" w14:textId="77777777" w:rsidTr="00656588">
        <w:tc>
          <w:tcPr>
            <w:tcW w:w="1250" w:type="pct"/>
          </w:tcPr>
          <w:p w14:paraId="578996C2" w14:textId="77777777" w:rsidR="00656588" w:rsidRPr="00E32ED7" w:rsidRDefault="00656588" w:rsidP="00047236">
            <w:pPr>
              <w:spacing w:line="360" w:lineRule="auto"/>
              <w:jc w:val="left"/>
              <w:rPr>
                <w:rFonts w:ascii="Arial" w:hAnsi="Arial" w:cs="Arial"/>
                <w:sz w:val="20"/>
              </w:rPr>
            </w:pPr>
          </w:p>
        </w:tc>
        <w:tc>
          <w:tcPr>
            <w:tcW w:w="1250" w:type="pct"/>
          </w:tcPr>
          <w:p w14:paraId="54698178" w14:textId="77777777" w:rsidR="00656588" w:rsidRPr="00E32ED7" w:rsidRDefault="00656588" w:rsidP="00047236">
            <w:pPr>
              <w:spacing w:line="360" w:lineRule="auto"/>
              <w:jc w:val="left"/>
              <w:rPr>
                <w:rFonts w:ascii="Arial Rounded MT Bold" w:hAnsi="Arial Rounded MT Bold" w:cs="Arial"/>
                <w:sz w:val="20"/>
              </w:rPr>
            </w:pPr>
            <w:r w:rsidRPr="00E32ED7">
              <w:rPr>
                <w:rFonts w:ascii="Arial Rounded MT Bold" w:hAnsi="Arial Rounded MT Bold" w:cs="Arial"/>
                <w:sz w:val="20"/>
              </w:rPr>
              <w:t>Einzelticket</w:t>
            </w:r>
          </w:p>
          <w:p w14:paraId="6E98AF22" w14:textId="77777777" w:rsidR="00656588" w:rsidRPr="00E32ED7" w:rsidRDefault="00656588" w:rsidP="00227B50">
            <w:pPr>
              <w:pStyle w:val="Listenabsatz"/>
              <w:numPr>
                <w:ilvl w:val="0"/>
                <w:numId w:val="19"/>
              </w:numPr>
              <w:spacing w:line="360" w:lineRule="auto"/>
              <w:jc w:val="left"/>
              <w:rPr>
                <w:rFonts w:ascii="Arial Rounded MT Bold" w:hAnsi="Arial Rounded MT Bold" w:cs="Arial"/>
                <w:sz w:val="20"/>
              </w:rPr>
            </w:pPr>
            <w:r w:rsidRPr="00E32ED7">
              <w:rPr>
                <w:rFonts w:ascii="Arial Rounded MT Bold" w:hAnsi="Arial Rounded MT Bold" w:cs="Arial"/>
                <w:sz w:val="20"/>
              </w:rPr>
              <w:t>Blaue Tour</w:t>
            </w:r>
          </w:p>
          <w:p w14:paraId="7283A3AF"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Oder</w:t>
            </w:r>
          </w:p>
          <w:p w14:paraId="3F2B65FD" w14:textId="77777777" w:rsidR="00656588" w:rsidRPr="00E32ED7" w:rsidRDefault="00656588" w:rsidP="00227B50">
            <w:pPr>
              <w:pStyle w:val="Listenabsatz"/>
              <w:numPr>
                <w:ilvl w:val="0"/>
                <w:numId w:val="19"/>
              </w:numPr>
              <w:spacing w:line="360" w:lineRule="auto"/>
              <w:jc w:val="left"/>
              <w:rPr>
                <w:rFonts w:ascii="Arial Rounded MT Bold" w:hAnsi="Arial Rounded MT Bold" w:cs="Arial"/>
                <w:sz w:val="20"/>
              </w:rPr>
            </w:pPr>
            <w:r w:rsidRPr="00E32ED7">
              <w:rPr>
                <w:rFonts w:ascii="Arial Rounded MT Bold" w:hAnsi="Arial Rounded MT Bold" w:cs="Arial"/>
                <w:sz w:val="20"/>
              </w:rPr>
              <w:t>Grüne Tour</w:t>
            </w:r>
          </w:p>
        </w:tc>
        <w:tc>
          <w:tcPr>
            <w:tcW w:w="1250" w:type="pct"/>
          </w:tcPr>
          <w:p w14:paraId="7EF466A9" w14:textId="77777777" w:rsidR="00656588" w:rsidRPr="00E32ED7" w:rsidRDefault="00656588" w:rsidP="00047236">
            <w:pPr>
              <w:spacing w:line="360" w:lineRule="auto"/>
              <w:jc w:val="left"/>
              <w:rPr>
                <w:rFonts w:ascii="Arial Rounded MT Bold" w:hAnsi="Arial Rounded MT Bold" w:cs="Arial"/>
                <w:sz w:val="20"/>
              </w:rPr>
            </w:pPr>
            <w:r w:rsidRPr="00E32ED7">
              <w:rPr>
                <w:rFonts w:ascii="Arial Rounded MT Bold" w:hAnsi="Arial Rounded MT Bold" w:cs="Arial"/>
                <w:sz w:val="20"/>
              </w:rPr>
              <w:t>Einzelticket</w:t>
            </w:r>
          </w:p>
          <w:p w14:paraId="011353BD" w14:textId="77777777" w:rsidR="00656588" w:rsidRPr="00E32ED7" w:rsidRDefault="00656588" w:rsidP="00227B50">
            <w:pPr>
              <w:pStyle w:val="Listenabsatz"/>
              <w:numPr>
                <w:ilvl w:val="0"/>
                <w:numId w:val="19"/>
              </w:numPr>
              <w:spacing w:line="360" w:lineRule="auto"/>
              <w:jc w:val="left"/>
              <w:rPr>
                <w:rFonts w:ascii="Arial" w:hAnsi="Arial" w:cs="Arial"/>
                <w:sz w:val="20"/>
              </w:rPr>
            </w:pPr>
            <w:proofErr w:type="spellStart"/>
            <w:r w:rsidRPr="00E32ED7">
              <w:rPr>
                <w:rFonts w:ascii="Arial Rounded MT Bold" w:hAnsi="Arial Rounded MT Bold" w:cs="Arial"/>
                <w:sz w:val="20"/>
              </w:rPr>
              <w:t>Weintour</w:t>
            </w:r>
            <w:proofErr w:type="spellEnd"/>
          </w:p>
        </w:tc>
        <w:tc>
          <w:tcPr>
            <w:tcW w:w="1250" w:type="pct"/>
          </w:tcPr>
          <w:p w14:paraId="5D803454" w14:textId="77777777" w:rsidR="00656588" w:rsidRPr="00E32ED7" w:rsidRDefault="00656588" w:rsidP="00047236">
            <w:pPr>
              <w:spacing w:line="360" w:lineRule="auto"/>
              <w:jc w:val="left"/>
              <w:rPr>
                <w:rFonts w:ascii="Arial Rounded MT Bold" w:hAnsi="Arial Rounded MT Bold" w:cs="Arial"/>
                <w:sz w:val="20"/>
              </w:rPr>
            </w:pPr>
            <w:r w:rsidRPr="00E32ED7">
              <w:rPr>
                <w:rFonts w:ascii="Arial Rounded MT Bold" w:hAnsi="Arial Rounded MT Bold" w:cs="Arial"/>
                <w:sz w:val="20"/>
              </w:rPr>
              <w:t>Kombiticket für 2 Touren</w:t>
            </w:r>
          </w:p>
          <w:p w14:paraId="1A645CFA"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 xml:space="preserve">(Entweder Blaue &amp; Grüne Tour oder Blaue Tour &amp; </w:t>
            </w:r>
            <w:proofErr w:type="spellStart"/>
            <w:r w:rsidRPr="00E32ED7">
              <w:rPr>
                <w:rFonts w:ascii="Arial" w:hAnsi="Arial" w:cs="Arial"/>
                <w:sz w:val="20"/>
              </w:rPr>
              <w:t>Weintour</w:t>
            </w:r>
            <w:proofErr w:type="spellEnd"/>
            <w:r w:rsidRPr="00E32ED7">
              <w:rPr>
                <w:rFonts w:ascii="Arial" w:hAnsi="Arial" w:cs="Arial"/>
                <w:sz w:val="20"/>
              </w:rPr>
              <w:t>)</w:t>
            </w:r>
          </w:p>
        </w:tc>
      </w:tr>
      <w:tr w:rsidR="00656588" w:rsidRPr="00756978" w14:paraId="759CBED9" w14:textId="77777777" w:rsidTr="00656588">
        <w:tc>
          <w:tcPr>
            <w:tcW w:w="1250" w:type="pct"/>
          </w:tcPr>
          <w:p w14:paraId="3DEA7873"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Erwachsene</w:t>
            </w:r>
          </w:p>
        </w:tc>
        <w:tc>
          <w:tcPr>
            <w:tcW w:w="1250" w:type="pct"/>
          </w:tcPr>
          <w:p w14:paraId="671BA6F2" w14:textId="5052C73F" w:rsidR="00656588" w:rsidRPr="00E32ED7" w:rsidRDefault="000D386D" w:rsidP="00047236">
            <w:pPr>
              <w:spacing w:line="360" w:lineRule="auto"/>
              <w:jc w:val="left"/>
              <w:rPr>
                <w:rFonts w:ascii="Arial" w:hAnsi="Arial" w:cs="Arial"/>
                <w:sz w:val="20"/>
              </w:rPr>
            </w:pPr>
            <w:r w:rsidRPr="00E32ED7">
              <w:rPr>
                <w:rFonts w:ascii="Arial" w:hAnsi="Arial" w:cs="Arial"/>
                <w:sz w:val="20"/>
              </w:rPr>
              <w:t>24,-</w:t>
            </w:r>
          </w:p>
        </w:tc>
        <w:tc>
          <w:tcPr>
            <w:tcW w:w="1250" w:type="pct"/>
          </w:tcPr>
          <w:p w14:paraId="2AE08395" w14:textId="1F6A28B8" w:rsidR="00656588" w:rsidRPr="00E32ED7" w:rsidRDefault="000D386D" w:rsidP="00047236">
            <w:pPr>
              <w:spacing w:line="360" w:lineRule="auto"/>
              <w:jc w:val="left"/>
              <w:rPr>
                <w:rFonts w:ascii="Arial" w:hAnsi="Arial" w:cs="Arial"/>
                <w:sz w:val="20"/>
              </w:rPr>
            </w:pPr>
            <w:r w:rsidRPr="00E32ED7">
              <w:rPr>
                <w:rFonts w:ascii="Arial" w:hAnsi="Arial" w:cs="Arial"/>
                <w:sz w:val="20"/>
              </w:rPr>
              <w:t>16,-</w:t>
            </w:r>
          </w:p>
        </w:tc>
        <w:tc>
          <w:tcPr>
            <w:tcW w:w="1250" w:type="pct"/>
          </w:tcPr>
          <w:p w14:paraId="0224B3AA" w14:textId="72BB0F26" w:rsidR="00656588" w:rsidRPr="00E32ED7" w:rsidRDefault="000D386D" w:rsidP="00047236">
            <w:pPr>
              <w:spacing w:line="360" w:lineRule="auto"/>
              <w:jc w:val="left"/>
              <w:rPr>
                <w:rFonts w:ascii="Arial" w:hAnsi="Arial" w:cs="Arial"/>
                <w:sz w:val="20"/>
              </w:rPr>
            </w:pPr>
            <w:r w:rsidRPr="00E32ED7">
              <w:rPr>
                <w:rFonts w:ascii="Arial" w:hAnsi="Arial" w:cs="Arial"/>
                <w:sz w:val="20"/>
              </w:rPr>
              <w:t>36,-</w:t>
            </w:r>
          </w:p>
        </w:tc>
      </w:tr>
      <w:tr w:rsidR="00656588" w:rsidRPr="00756978" w14:paraId="2662C560" w14:textId="77777777" w:rsidTr="00656588">
        <w:tc>
          <w:tcPr>
            <w:tcW w:w="1250" w:type="pct"/>
          </w:tcPr>
          <w:p w14:paraId="19528C9C"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Kinder (4 – 14 J.)</w:t>
            </w:r>
          </w:p>
        </w:tc>
        <w:tc>
          <w:tcPr>
            <w:tcW w:w="1250" w:type="pct"/>
          </w:tcPr>
          <w:p w14:paraId="0EE9073B"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5,-</w:t>
            </w:r>
          </w:p>
        </w:tc>
        <w:tc>
          <w:tcPr>
            <w:tcW w:w="1250" w:type="pct"/>
          </w:tcPr>
          <w:p w14:paraId="1CC70BA6"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5,-</w:t>
            </w:r>
          </w:p>
        </w:tc>
        <w:tc>
          <w:tcPr>
            <w:tcW w:w="1250" w:type="pct"/>
          </w:tcPr>
          <w:p w14:paraId="1B168F09"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10,-</w:t>
            </w:r>
          </w:p>
        </w:tc>
      </w:tr>
      <w:tr w:rsidR="00656588" w:rsidRPr="00756978" w14:paraId="007BD230" w14:textId="77777777" w:rsidTr="00656588">
        <w:tc>
          <w:tcPr>
            <w:tcW w:w="1250" w:type="pct"/>
          </w:tcPr>
          <w:p w14:paraId="363AAF5E"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 xml:space="preserve">Kinder unter 4 Jahren in Begleitung eines </w:t>
            </w:r>
            <w:proofErr w:type="spellStart"/>
            <w:r w:rsidRPr="00E32ED7">
              <w:rPr>
                <w:rFonts w:ascii="Arial" w:hAnsi="Arial" w:cs="Arial"/>
                <w:sz w:val="20"/>
              </w:rPr>
              <w:t>Erw</w:t>
            </w:r>
            <w:proofErr w:type="spellEnd"/>
            <w:r w:rsidRPr="00E32ED7">
              <w:rPr>
                <w:rFonts w:ascii="Arial" w:hAnsi="Arial" w:cs="Arial"/>
                <w:sz w:val="20"/>
              </w:rPr>
              <w:t>.</w:t>
            </w:r>
          </w:p>
        </w:tc>
        <w:tc>
          <w:tcPr>
            <w:tcW w:w="1250" w:type="pct"/>
          </w:tcPr>
          <w:p w14:paraId="04668B89" w14:textId="46E32B37" w:rsidR="00656588" w:rsidRPr="00E32ED7" w:rsidRDefault="00656588" w:rsidP="00047236">
            <w:pPr>
              <w:spacing w:line="360" w:lineRule="auto"/>
              <w:jc w:val="left"/>
              <w:rPr>
                <w:rFonts w:ascii="Arial" w:hAnsi="Arial" w:cs="Arial"/>
                <w:sz w:val="20"/>
              </w:rPr>
            </w:pPr>
            <w:r w:rsidRPr="00E32ED7">
              <w:rPr>
                <w:rFonts w:ascii="Arial" w:hAnsi="Arial" w:cs="Arial"/>
                <w:sz w:val="20"/>
              </w:rPr>
              <w:t>Frei</w:t>
            </w:r>
          </w:p>
        </w:tc>
        <w:tc>
          <w:tcPr>
            <w:tcW w:w="1250" w:type="pct"/>
          </w:tcPr>
          <w:p w14:paraId="6D03A6D6" w14:textId="6CFE8816" w:rsidR="00656588" w:rsidRPr="00E32ED7" w:rsidRDefault="00656588" w:rsidP="00047236">
            <w:pPr>
              <w:spacing w:line="360" w:lineRule="auto"/>
              <w:jc w:val="left"/>
              <w:rPr>
                <w:rFonts w:ascii="Arial" w:hAnsi="Arial" w:cs="Arial"/>
                <w:sz w:val="20"/>
              </w:rPr>
            </w:pPr>
            <w:r w:rsidRPr="00E32ED7">
              <w:rPr>
                <w:rFonts w:ascii="Arial" w:hAnsi="Arial" w:cs="Arial"/>
                <w:sz w:val="20"/>
              </w:rPr>
              <w:t>Frei</w:t>
            </w:r>
          </w:p>
        </w:tc>
        <w:tc>
          <w:tcPr>
            <w:tcW w:w="1250" w:type="pct"/>
          </w:tcPr>
          <w:p w14:paraId="4024560E" w14:textId="7DC576E0" w:rsidR="00656588" w:rsidRPr="00E32ED7" w:rsidRDefault="00656588" w:rsidP="00047236">
            <w:pPr>
              <w:spacing w:line="360" w:lineRule="auto"/>
              <w:jc w:val="left"/>
              <w:rPr>
                <w:rFonts w:ascii="Arial" w:hAnsi="Arial" w:cs="Arial"/>
                <w:sz w:val="20"/>
              </w:rPr>
            </w:pPr>
            <w:r w:rsidRPr="00E32ED7">
              <w:rPr>
                <w:rFonts w:ascii="Arial" w:hAnsi="Arial" w:cs="Arial"/>
                <w:sz w:val="20"/>
              </w:rPr>
              <w:t>Frei</w:t>
            </w:r>
          </w:p>
        </w:tc>
      </w:tr>
      <w:tr w:rsidR="00656588" w:rsidRPr="00C8653D" w14:paraId="7894194E" w14:textId="77777777" w:rsidTr="00656588">
        <w:tc>
          <w:tcPr>
            <w:tcW w:w="1250" w:type="pct"/>
          </w:tcPr>
          <w:p w14:paraId="4F3DE783" w14:textId="0E03D5B0" w:rsidR="00656588" w:rsidRPr="00E32ED7" w:rsidRDefault="00656588" w:rsidP="00047236">
            <w:pPr>
              <w:spacing w:line="360" w:lineRule="auto"/>
              <w:jc w:val="left"/>
              <w:rPr>
                <w:rFonts w:ascii="Arial" w:hAnsi="Arial" w:cs="Arial"/>
                <w:sz w:val="20"/>
              </w:rPr>
            </w:pPr>
            <w:r w:rsidRPr="00E32ED7">
              <w:rPr>
                <w:rFonts w:ascii="Arial" w:hAnsi="Arial" w:cs="Arial"/>
                <w:sz w:val="20"/>
              </w:rPr>
              <w:t xml:space="preserve">Mit ErlebnisCard </w:t>
            </w:r>
          </w:p>
        </w:tc>
        <w:tc>
          <w:tcPr>
            <w:tcW w:w="1250" w:type="pct"/>
          </w:tcPr>
          <w:p w14:paraId="3B8A3853" w14:textId="44298592" w:rsidR="00656588" w:rsidRPr="00E32ED7" w:rsidRDefault="00656588" w:rsidP="00047236">
            <w:pPr>
              <w:spacing w:line="360" w:lineRule="auto"/>
              <w:jc w:val="left"/>
              <w:rPr>
                <w:rFonts w:ascii="Arial" w:hAnsi="Arial" w:cs="Arial"/>
                <w:sz w:val="20"/>
              </w:rPr>
            </w:pPr>
            <w:r w:rsidRPr="00E32ED7">
              <w:rPr>
                <w:rFonts w:ascii="Arial" w:hAnsi="Arial" w:cs="Arial"/>
                <w:sz w:val="20"/>
              </w:rPr>
              <w:t xml:space="preserve">0,- (Blaue Tour) </w:t>
            </w:r>
          </w:p>
          <w:p w14:paraId="14E77D23" w14:textId="52C4C053" w:rsidR="00656588" w:rsidRPr="00E32ED7" w:rsidRDefault="00656588" w:rsidP="00047236">
            <w:pPr>
              <w:spacing w:line="360" w:lineRule="auto"/>
              <w:jc w:val="left"/>
              <w:rPr>
                <w:rFonts w:ascii="Arial" w:hAnsi="Arial" w:cs="Arial"/>
                <w:sz w:val="20"/>
              </w:rPr>
            </w:pPr>
            <w:r w:rsidRPr="00E32ED7">
              <w:rPr>
                <w:rFonts w:ascii="Arial" w:hAnsi="Arial" w:cs="Arial"/>
                <w:sz w:val="20"/>
              </w:rPr>
              <w:t>Grüne Tour s.o.</w:t>
            </w:r>
          </w:p>
        </w:tc>
        <w:tc>
          <w:tcPr>
            <w:tcW w:w="1250" w:type="pct"/>
          </w:tcPr>
          <w:p w14:paraId="0FB85473" w14:textId="748ED96D" w:rsidR="00656588" w:rsidRPr="00E32ED7" w:rsidRDefault="00656588" w:rsidP="00047236">
            <w:pPr>
              <w:spacing w:line="360" w:lineRule="auto"/>
              <w:jc w:val="left"/>
              <w:rPr>
                <w:rFonts w:ascii="Arial" w:hAnsi="Arial" w:cs="Arial"/>
                <w:sz w:val="20"/>
              </w:rPr>
            </w:pPr>
            <w:r w:rsidRPr="00E32ED7">
              <w:rPr>
                <w:rFonts w:ascii="Arial" w:hAnsi="Arial" w:cs="Arial"/>
                <w:sz w:val="20"/>
              </w:rPr>
              <w:t>s.o.</w:t>
            </w:r>
          </w:p>
        </w:tc>
        <w:tc>
          <w:tcPr>
            <w:tcW w:w="1250" w:type="pct"/>
          </w:tcPr>
          <w:p w14:paraId="2D8C841D" w14:textId="034F87E3" w:rsidR="00656588" w:rsidRPr="00E32ED7" w:rsidRDefault="00656588" w:rsidP="00047236">
            <w:pPr>
              <w:spacing w:line="360" w:lineRule="auto"/>
              <w:jc w:val="left"/>
              <w:rPr>
                <w:rFonts w:ascii="Arial" w:hAnsi="Arial" w:cs="Arial"/>
                <w:sz w:val="20"/>
              </w:rPr>
            </w:pPr>
            <w:r w:rsidRPr="00E32ED7">
              <w:rPr>
                <w:rFonts w:ascii="Arial" w:hAnsi="Arial" w:cs="Arial"/>
                <w:sz w:val="20"/>
              </w:rPr>
              <w:t>s.o.</w:t>
            </w:r>
          </w:p>
        </w:tc>
      </w:tr>
      <w:tr w:rsidR="00656588" w:rsidRPr="00756978" w14:paraId="3890917F" w14:textId="77777777" w:rsidTr="00656588">
        <w:tc>
          <w:tcPr>
            <w:tcW w:w="1250" w:type="pct"/>
          </w:tcPr>
          <w:p w14:paraId="65DDABAA"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Personen mit Schwerbehindertenausweis ab 80%</w:t>
            </w:r>
          </w:p>
        </w:tc>
        <w:tc>
          <w:tcPr>
            <w:tcW w:w="1250" w:type="pct"/>
          </w:tcPr>
          <w:p w14:paraId="040F78AC" w14:textId="54BDCBFE" w:rsidR="00656588" w:rsidRPr="00E32ED7" w:rsidRDefault="000D386D" w:rsidP="00047236">
            <w:pPr>
              <w:spacing w:line="360" w:lineRule="auto"/>
              <w:jc w:val="left"/>
              <w:rPr>
                <w:rFonts w:ascii="Arial" w:hAnsi="Arial" w:cs="Arial"/>
                <w:sz w:val="20"/>
              </w:rPr>
            </w:pPr>
            <w:r w:rsidRPr="00E32ED7">
              <w:rPr>
                <w:rFonts w:ascii="Arial" w:hAnsi="Arial" w:cs="Arial"/>
                <w:sz w:val="20"/>
              </w:rPr>
              <w:t>20,-</w:t>
            </w:r>
          </w:p>
        </w:tc>
        <w:tc>
          <w:tcPr>
            <w:tcW w:w="1250" w:type="pct"/>
          </w:tcPr>
          <w:p w14:paraId="6094FEC7" w14:textId="094CA0EF" w:rsidR="00656588" w:rsidRPr="00E32ED7" w:rsidRDefault="000D386D" w:rsidP="00047236">
            <w:pPr>
              <w:spacing w:line="360" w:lineRule="auto"/>
              <w:jc w:val="left"/>
              <w:rPr>
                <w:rFonts w:ascii="Arial" w:hAnsi="Arial" w:cs="Arial"/>
                <w:sz w:val="20"/>
              </w:rPr>
            </w:pPr>
            <w:r w:rsidRPr="00E32ED7">
              <w:rPr>
                <w:rFonts w:ascii="Arial" w:hAnsi="Arial" w:cs="Arial"/>
                <w:sz w:val="20"/>
              </w:rPr>
              <w:t>13,-</w:t>
            </w:r>
          </w:p>
        </w:tc>
        <w:tc>
          <w:tcPr>
            <w:tcW w:w="1250" w:type="pct"/>
          </w:tcPr>
          <w:p w14:paraId="4EFEFD25" w14:textId="290854E8" w:rsidR="00656588" w:rsidRPr="00E32ED7" w:rsidRDefault="000D386D" w:rsidP="00047236">
            <w:pPr>
              <w:spacing w:line="360" w:lineRule="auto"/>
              <w:jc w:val="left"/>
              <w:rPr>
                <w:rFonts w:ascii="Arial" w:hAnsi="Arial" w:cs="Arial"/>
                <w:sz w:val="20"/>
              </w:rPr>
            </w:pPr>
            <w:r w:rsidRPr="00E32ED7">
              <w:rPr>
                <w:rFonts w:ascii="Arial" w:hAnsi="Arial" w:cs="Arial"/>
                <w:sz w:val="20"/>
              </w:rPr>
              <w:t xml:space="preserve">29,- </w:t>
            </w:r>
          </w:p>
        </w:tc>
      </w:tr>
      <w:tr w:rsidR="00656588" w:rsidRPr="00756978" w14:paraId="01D7BB98" w14:textId="77777777" w:rsidTr="00656588">
        <w:tc>
          <w:tcPr>
            <w:tcW w:w="1250" w:type="pct"/>
          </w:tcPr>
          <w:p w14:paraId="1D2A9413"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1 Begleitperson für Personen mit Schwerbehindertenausweis B</w:t>
            </w:r>
          </w:p>
        </w:tc>
        <w:tc>
          <w:tcPr>
            <w:tcW w:w="1250" w:type="pct"/>
          </w:tcPr>
          <w:p w14:paraId="057F55B4"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frei</w:t>
            </w:r>
          </w:p>
        </w:tc>
        <w:tc>
          <w:tcPr>
            <w:tcW w:w="1250" w:type="pct"/>
          </w:tcPr>
          <w:p w14:paraId="010781BB"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frei</w:t>
            </w:r>
          </w:p>
        </w:tc>
        <w:tc>
          <w:tcPr>
            <w:tcW w:w="1250" w:type="pct"/>
          </w:tcPr>
          <w:p w14:paraId="1808A446"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frei</w:t>
            </w:r>
          </w:p>
        </w:tc>
      </w:tr>
      <w:tr w:rsidR="00656588" w:rsidRPr="00756978" w14:paraId="5512ACCE" w14:textId="77777777" w:rsidTr="00656588">
        <w:tc>
          <w:tcPr>
            <w:tcW w:w="1250" w:type="pct"/>
          </w:tcPr>
          <w:p w14:paraId="4C446550"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Unter Vorlage der Eintrittskarte in das Mercedes-Benz Museum*</w:t>
            </w:r>
          </w:p>
        </w:tc>
        <w:tc>
          <w:tcPr>
            <w:tcW w:w="1250" w:type="pct"/>
          </w:tcPr>
          <w:p w14:paraId="76EF7AE7" w14:textId="77777777" w:rsidR="00656588" w:rsidRPr="00E32ED7" w:rsidRDefault="00656588" w:rsidP="00047236">
            <w:pPr>
              <w:spacing w:line="360" w:lineRule="auto"/>
              <w:jc w:val="left"/>
              <w:rPr>
                <w:rFonts w:ascii="Arial" w:hAnsi="Arial" w:cs="Arial"/>
                <w:sz w:val="20"/>
              </w:rPr>
            </w:pPr>
            <w:r w:rsidRPr="00E32ED7">
              <w:rPr>
                <w:rFonts w:ascii="Arial" w:hAnsi="Arial" w:cs="Arial"/>
                <w:sz w:val="20"/>
              </w:rPr>
              <w:t>-</w:t>
            </w:r>
          </w:p>
        </w:tc>
        <w:tc>
          <w:tcPr>
            <w:tcW w:w="1250" w:type="pct"/>
          </w:tcPr>
          <w:p w14:paraId="5C4AD7FE" w14:textId="57EC739B" w:rsidR="00656588" w:rsidRPr="00E32ED7" w:rsidRDefault="000D386D" w:rsidP="00047236">
            <w:pPr>
              <w:spacing w:line="360" w:lineRule="auto"/>
              <w:jc w:val="left"/>
              <w:rPr>
                <w:rFonts w:ascii="Arial" w:hAnsi="Arial" w:cs="Arial"/>
                <w:sz w:val="20"/>
              </w:rPr>
            </w:pPr>
            <w:r w:rsidRPr="00E32ED7">
              <w:rPr>
                <w:rFonts w:ascii="Arial" w:hAnsi="Arial" w:cs="Arial"/>
                <w:sz w:val="20"/>
              </w:rPr>
              <w:t>14,-</w:t>
            </w:r>
          </w:p>
        </w:tc>
        <w:tc>
          <w:tcPr>
            <w:tcW w:w="1250" w:type="pct"/>
          </w:tcPr>
          <w:p w14:paraId="3E4D10A7" w14:textId="5215F124" w:rsidR="00656588" w:rsidRPr="00E32ED7" w:rsidRDefault="000D386D" w:rsidP="00047236">
            <w:pPr>
              <w:spacing w:line="360" w:lineRule="auto"/>
              <w:jc w:val="left"/>
              <w:rPr>
                <w:rFonts w:ascii="Arial" w:hAnsi="Arial" w:cs="Arial"/>
                <w:sz w:val="20"/>
              </w:rPr>
            </w:pPr>
            <w:r w:rsidRPr="00E32ED7">
              <w:rPr>
                <w:rFonts w:ascii="Arial" w:hAnsi="Arial" w:cs="Arial"/>
                <w:sz w:val="20"/>
              </w:rPr>
              <w:t>34,-</w:t>
            </w:r>
          </w:p>
        </w:tc>
      </w:tr>
      <w:bookmarkEnd w:id="0"/>
    </w:tbl>
    <w:p w14:paraId="487C3C64" w14:textId="77777777" w:rsidR="00227B50" w:rsidRDefault="00227B50" w:rsidP="00227B50">
      <w:pPr>
        <w:spacing w:line="360" w:lineRule="auto"/>
        <w:ind w:left="426"/>
        <w:rPr>
          <w:rFonts w:ascii="Arial Rounded MT Bold" w:hAnsi="Arial Rounded MT Bold" w:cs="Arial"/>
          <w:sz w:val="20"/>
        </w:rPr>
      </w:pPr>
    </w:p>
    <w:p w14:paraId="6125B532" w14:textId="20983479" w:rsidR="00227B50" w:rsidRPr="00FF4363" w:rsidRDefault="00227B50" w:rsidP="00227B50">
      <w:pPr>
        <w:spacing w:line="360" w:lineRule="auto"/>
        <w:ind w:left="426"/>
        <w:rPr>
          <w:rFonts w:ascii="Arial" w:hAnsi="Arial" w:cs="Arial"/>
          <w:sz w:val="20"/>
        </w:rPr>
      </w:pPr>
      <w:bookmarkStart w:id="2" w:name="_Hlk212629081"/>
      <w:r w:rsidRPr="00FF4363">
        <w:rPr>
          <w:rFonts w:ascii="Arial" w:hAnsi="Arial" w:cs="Arial"/>
          <w:sz w:val="20"/>
        </w:rPr>
        <w:t xml:space="preserve">* In Kooperation mit dem </w:t>
      </w:r>
      <w:proofErr w:type="gramStart"/>
      <w:r w:rsidRPr="00FF4363">
        <w:rPr>
          <w:rFonts w:ascii="Arial" w:hAnsi="Arial" w:cs="Arial"/>
          <w:sz w:val="20"/>
        </w:rPr>
        <w:t>Mercedes-Benz Museum</w:t>
      </w:r>
      <w:proofErr w:type="gramEnd"/>
      <w:r w:rsidRPr="00FF4363">
        <w:rPr>
          <w:rFonts w:ascii="Arial" w:hAnsi="Arial" w:cs="Arial"/>
          <w:sz w:val="20"/>
        </w:rPr>
        <w:t xml:space="preserve"> erhalten Besuch</w:t>
      </w:r>
      <w:r w:rsidRPr="00C8653D">
        <w:rPr>
          <w:rFonts w:ascii="Arial" w:hAnsi="Arial" w:cs="Arial"/>
          <w:sz w:val="20"/>
        </w:rPr>
        <w:t>er</w:t>
      </w:r>
      <w:r w:rsidR="00757ECD" w:rsidRPr="00542AA2">
        <w:rPr>
          <w:rFonts w:ascii="Arial" w:hAnsi="Arial" w:cs="Arial"/>
          <w:sz w:val="20"/>
        </w:rPr>
        <w:t>innen</w:t>
      </w:r>
      <w:r w:rsidRPr="00542AA2">
        <w:rPr>
          <w:rFonts w:ascii="Arial" w:hAnsi="Arial" w:cs="Arial"/>
          <w:sz w:val="20"/>
        </w:rPr>
        <w:t xml:space="preserve"> </w:t>
      </w:r>
      <w:r w:rsidR="005F4D02" w:rsidRPr="00542AA2">
        <w:rPr>
          <w:rFonts w:ascii="Arial" w:hAnsi="Arial" w:cs="Arial"/>
          <w:sz w:val="20"/>
        </w:rPr>
        <w:t xml:space="preserve">und Besucher </w:t>
      </w:r>
      <w:r w:rsidRPr="00542AA2">
        <w:rPr>
          <w:rFonts w:ascii="Arial" w:hAnsi="Arial" w:cs="Arial"/>
          <w:sz w:val="20"/>
        </w:rPr>
        <w:t xml:space="preserve">unter Vorlage des Stuttgart </w:t>
      </w:r>
      <w:proofErr w:type="spellStart"/>
      <w:r w:rsidRPr="00542AA2">
        <w:rPr>
          <w:rFonts w:ascii="Arial" w:hAnsi="Arial" w:cs="Arial"/>
          <w:sz w:val="20"/>
        </w:rPr>
        <w:t>Weintour</w:t>
      </w:r>
      <w:proofErr w:type="spellEnd"/>
      <w:r w:rsidRPr="00542AA2">
        <w:rPr>
          <w:rFonts w:ascii="Arial" w:hAnsi="Arial" w:cs="Arial"/>
          <w:sz w:val="20"/>
        </w:rPr>
        <w:t>-Tickets 2€ Ermäßigung auf den r</w:t>
      </w:r>
      <w:r w:rsidRPr="00FF4363">
        <w:rPr>
          <w:rFonts w:ascii="Arial" w:hAnsi="Arial" w:cs="Arial"/>
          <w:sz w:val="20"/>
        </w:rPr>
        <w:t xml:space="preserve">egulären Eintrittspreis im Mercedes-Benz Museum. Erwachsene, die ein Eintrittsticket des </w:t>
      </w:r>
      <w:proofErr w:type="gramStart"/>
      <w:r w:rsidRPr="00FF4363">
        <w:rPr>
          <w:rFonts w:ascii="Arial" w:hAnsi="Arial" w:cs="Arial"/>
          <w:sz w:val="20"/>
        </w:rPr>
        <w:t>Mercedes-Benz Museum</w:t>
      </w:r>
      <w:proofErr w:type="gramEnd"/>
      <w:r w:rsidRPr="00FF4363">
        <w:rPr>
          <w:rFonts w:ascii="Arial" w:hAnsi="Arial" w:cs="Arial"/>
          <w:sz w:val="20"/>
        </w:rPr>
        <w:t xml:space="preserve"> </w:t>
      </w:r>
      <w:r w:rsidRPr="00FF4363">
        <w:rPr>
          <w:rFonts w:ascii="Arial" w:hAnsi="Arial" w:cs="Arial"/>
          <w:sz w:val="20"/>
        </w:rPr>
        <w:lastRenderedPageBreak/>
        <w:t xml:space="preserve">vorlegen, erhalten auf die Stuttgart </w:t>
      </w:r>
      <w:proofErr w:type="spellStart"/>
      <w:r w:rsidRPr="00FF4363">
        <w:rPr>
          <w:rFonts w:ascii="Arial" w:hAnsi="Arial" w:cs="Arial"/>
          <w:sz w:val="20"/>
        </w:rPr>
        <w:t>Weintour</w:t>
      </w:r>
      <w:proofErr w:type="spellEnd"/>
      <w:r w:rsidRPr="00FF4363">
        <w:rPr>
          <w:rFonts w:ascii="Arial" w:hAnsi="Arial" w:cs="Arial"/>
          <w:sz w:val="20"/>
        </w:rPr>
        <w:t xml:space="preserve"> 2€ Ermäßigung. Die Ermäßigung ist innerhalb eines Jahres einlösbar.</w:t>
      </w:r>
    </w:p>
    <w:bookmarkEnd w:id="1"/>
    <w:bookmarkEnd w:id="2"/>
    <w:p w14:paraId="7EA53C71" w14:textId="77777777" w:rsidR="00227B50" w:rsidRPr="00FF4363" w:rsidRDefault="00227B50" w:rsidP="00227B50">
      <w:pPr>
        <w:spacing w:line="360" w:lineRule="auto"/>
        <w:ind w:left="426"/>
        <w:rPr>
          <w:rFonts w:ascii="Arial" w:hAnsi="Arial" w:cs="Arial"/>
          <w:sz w:val="20"/>
        </w:rPr>
      </w:pPr>
    </w:p>
    <w:p w14:paraId="4E54571F" w14:textId="197C31F8" w:rsidR="00227B50" w:rsidRPr="00227B50" w:rsidRDefault="00227B50" w:rsidP="00227B50">
      <w:pPr>
        <w:spacing w:line="360" w:lineRule="auto"/>
        <w:ind w:left="426"/>
        <w:rPr>
          <w:rFonts w:ascii="Arial" w:hAnsi="Arial" w:cs="Arial"/>
          <w:sz w:val="20"/>
        </w:rPr>
      </w:pPr>
      <w:r w:rsidRPr="00FF4363">
        <w:rPr>
          <w:rFonts w:ascii="Arial" w:hAnsi="Arial" w:cs="Arial"/>
          <w:sz w:val="20"/>
        </w:rPr>
        <w:t xml:space="preserve">Die 24-Stunden-Tickets für die Stuttgart </w:t>
      </w:r>
      <w:proofErr w:type="spellStart"/>
      <w:r w:rsidRPr="00FF4363">
        <w:rPr>
          <w:rFonts w:ascii="Arial" w:hAnsi="Arial" w:cs="Arial"/>
          <w:sz w:val="20"/>
        </w:rPr>
        <w:t>Citytour</w:t>
      </w:r>
      <w:proofErr w:type="spellEnd"/>
      <w:r w:rsidRPr="00FF4363">
        <w:rPr>
          <w:rFonts w:ascii="Arial" w:hAnsi="Arial" w:cs="Arial"/>
          <w:sz w:val="20"/>
        </w:rPr>
        <w:t xml:space="preserve"> können bei </w:t>
      </w:r>
      <w:r w:rsidRPr="00384A1B">
        <w:rPr>
          <w:rFonts w:ascii="Arial" w:hAnsi="Arial" w:cs="Arial"/>
          <w:sz w:val="20"/>
        </w:rPr>
        <w:t xml:space="preserve">der Stuttgart-Marketing GmbH </w:t>
      </w:r>
      <w:r w:rsidRPr="0001628F">
        <w:rPr>
          <w:rFonts w:ascii="Arial" w:hAnsi="Arial" w:cs="Arial"/>
          <w:sz w:val="20"/>
        </w:rPr>
        <w:t>erworben werden: In der Tourist</w:t>
      </w:r>
      <w:r w:rsidR="00A476B8">
        <w:rPr>
          <w:rFonts w:ascii="Arial" w:hAnsi="Arial" w:cs="Arial"/>
          <w:sz w:val="20"/>
        </w:rPr>
        <w:t>-</w:t>
      </w:r>
      <w:bookmarkStart w:id="3" w:name="_GoBack"/>
      <w:bookmarkEnd w:id="3"/>
      <w:r w:rsidRPr="0001628F">
        <w:rPr>
          <w:rFonts w:ascii="Arial" w:hAnsi="Arial" w:cs="Arial"/>
          <w:sz w:val="20"/>
        </w:rPr>
        <w:t>Information i-Punk</w:t>
      </w:r>
      <w:r w:rsidRPr="00542AA2">
        <w:rPr>
          <w:rFonts w:ascii="Arial" w:hAnsi="Arial" w:cs="Arial"/>
          <w:sz w:val="20"/>
        </w:rPr>
        <w:t xml:space="preserve">t </w:t>
      </w:r>
      <w:r w:rsidR="005F4D02" w:rsidRPr="00542AA2">
        <w:rPr>
          <w:rFonts w:ascii="Arial" w:hAnsi="Arial" w:cs="Arial"/>
          <w:sz w:val="20"/>
        </w:rPr>
        <w:t xml:space="preserve">im Haus des Tourismus am Stuttgarter Marktplatz, </w:t>
      </w:r>
      <w:r w:rsidRPr="00542AA2">
        <w:rPr>
          <w:rFonts w:ascii="Arial" w:hAnsi="Arial" w:cs="Arial"/>
          <w:sz w:val="20"/>
        </w:rPr>
        <w:t>im Kundenservice unter Telefon 0711/22 2</w:t>
      </w:r>
      <w:r>
        <w:rPr>
          <w:rFonts w:ascii="Arial" w:hAnsi="Arial" w:cs="Arial"/>
          <w:sz w:val="20"/>
        </w:rPr>
        <w:t>8 0</w:t>
      </w:r>
      <w:r w:rsidRPr="0001628F">
        <w:rPr>
          <w:rFonts w:ascii="Arial" w:hAnsi="Arial" w:cs="Arial"/>
          <w:sz w:val="20"/>
        </w:rPr>
        <w:t xml:space="preserve">, </w:t>
      </w:r>
      <w:hyperlink r:id="rId8" w:history="1">
        <w:r w:rsidRPr="0001628F">
          <w:rPr>
            <w:rStyle w:val="Hyperlink"/>
            <w:rFonts w:ascii="Arial" w:hAnsi="Arial" w:cs="Arial"/>
            <w:color w:val="auto"/>
            <w:sz w:val="20"/>
            <w:u w:val="none"/>
          </w:rPr>
          <w:t>per</w:t>
        </w:r>
      </w:hyperlink>
      <w:r w:rsidRPr="0001628F">
        <w:rPr>
          <w:rStyle w:val="Hyperlink"/>
          <w:rFonts w:ascii="Arial" w:hAnsi="Arial" w:cs="Arial"/>
          <w:color w:val="auto"/>
          <w:sz w:val="20"/>
          <w:u w:val="none"/>
        </w:rPr>
        <w:t xml:space="preserve"> Mail an </w:t>
      </w:r>
      <w:hyperlink r:id="rId9" w:history="1">
        <w:r w:rsidRPr="00CD2840">
          <w:rPr>
            <w:rStyle w:val="Hyperlink"/>
            <w:rFonts w:ascii="Arial" w:hAnsi="Arial" w:cs="Arial"/>
            <w:bCs/>
            <w:sz w:val="20"/>
            <w:lang w:eastAsia="de-DE"/>
          </w:rPr>
          <w:t>touren@stuttgart-tourist.de</w:t>
        </w:r>
      </w:hyperlink>
      <w:r>
        <w:rPr>
          <w:rFonts w:ascii="Arial" w:hAnsi="Arial" w:cs="Arial"/>
          <w:sz w:val="20"/>
        </w:rPr>
        <w:t xml:space="preserve">, </w:t>
      </w:r>
      <w:r w:rsidRPr="0001628F">
        <w:rPr>
          <w:rFonts w:ascii="Arial" w:hAnsi="Arial" w:cs="Arial"/>
          <w:sz w:val="20"/>
        </w:rPr>
        <w:t xml:space="preserve">im Internet unter </w:t>
      </w:r>
      <w:hyperlink r:id="rId10" w:history="1">
        <w:r w:rsidRPr="00CD2840">
          <w:rPr>
            <w:rStyle w:val="Hyperlink"/>
            <w:rFonts w:ascii="Arial" w:hAnsi="Arial" w:cs="Arial"/>
            <w:sz w:val="20"/>
          </w:rPr>
          <w:t>www.stuttgart-citytour.de</w:t>
        </w:r>
      </w:hyperlink>
      <w:r>
        <w:rPr>
          <w:rFonts w:ascii="Arial" w:hAnsi="Arial" w:cs="Arial"/>
          <w:sz w:val="20"/>
        </w:rPr>
        <w:t xml:space="preserve"> </w:t>
      </w:r>
      <w:r w:rsidRPr="0001628F">
        <w:rPr>
          <w:rFonts w:ascii="Arial" w:hAnsi="Arial" w:cs="Arial"/>
          <w:sz w:val="20"/>
        </w:rPr>
        <w:t>sowie direkt im Bus.</w:t>
      </w:r>
      <w:r>
        <w:rPr>
          <w:rFonts w:ascii="Arial" w:hAnsi="Arial" w:cs="Arial"/>
          <w:sz w:val="20"/>
        </w:rPr>
        <w:t xml:space="preserve"> </w:t>
      </w:r>
    </w:p>
    <w:sectPr w:rsidR="00227B50" w:rsidRPr="00227B50"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070F593A" w:rsidR="00607357" w:rsidRPr="00AD6D17" w:rsidRDefault="00D90116"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A476B8"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AE640B"/>
    <w:multiLevelType w:val="hybridMultilevel"/>
    <w:tmpl w:val="55924A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3"/>
  </w:num>
  <w:num w:numId="3">
    <w:abstractNumId w:val="1"/>
  </w:num>
  <w:num w:numId="4">
    <w:abstractNumId w:val="18"/>
  </w:num>
  <w:num w:numId="5">
    <w:abstractNumId w:val="15"/>
  </w:num>
  <w:num w:numId="6">
    <w:abstractNumId w:val="3"/>
  </w:num>
  <w:num w:numId="7">
    <w:abstractNumId w:val="10"/>
  </w:num>
  <w:num w:numId="8">
    <w:abstractNumId w:val="0"/>
  </w:num>
  <w:num w:numId="9">
    <w:abstractNumId w:val="4"/>
  </w:num>
  <w:num w:numId="10">
    <w:abstractNumId w:val="7"/>
  </w:num>
  <w:num w:numId="11">
    <w:abstractNumId w:val="12"/>
  </w:num>
  <w:num w:numId="12">
    <w:abstractNumId w:val="5"/>
  </w:num>
  <w:num w:numId="13">
    <w:abstractNumId w:val="9"/>
  </w:num>
  <w:num w:numId="14">
    <w:abstractNumId w:val="14"/>
  </w:num>
  <w:num w:numId="15">
    <w:abstractNumId w:val="17"/>
  </w:num>
  <w:num w:numId="16">
    <w:abstractNumId w:val="2"/>
  </w:num>
  <w:num w:numId="17">
    <w:abstractNumId w:val="11"/>
  </w:num>
  <w:num w:numId="18">
    <w:abstractNumId w:val="16"/>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386D"/>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1CE"/>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27B50"/>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0B90"/>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2AA2"/>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4D02"/>
    <w:rsid w:val="005F576D"/>
    <w:rsid w:val="005F5DFE"/>
    <w:rsid w:val="005F732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588"/>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21B8"/>
    <w:rsid w:val="00724867"/>
    <w:rsid w:val="00736720"/>
    <w:rsid w:val="007408F8"/>
    <w:rsid w:val="0074146C"/>
    <w:rsid w:val="0074286D"/>
    <w:rsid w:val="007432AE"/>
    <w:rsid w:val="00750268"/>
    <w:rsid w:val="00750975"/>
    <w:rsid w:val="0075116C"/>
    <w:rsid w:val="00751C7A"/>
    <w:rsid w:val="00755972"/>
    <w:rsid w:val="00757504"/>
    <w:rsid w:val="00757ECD"/>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1AEA"/>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0FD1"/>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6B8"/>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5F6A"/>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16E8E"/>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8653D"/>
    <w:rsid w:val="00C97ADF"/>
    <w:rsid w:val="00CA0850"/>
    <w:rsid w:val="00CA19C0"/>
    <w:rsid w:val="00CA2C8E"/>
    <w:rsid w:val="00CA3B7E"/>
    <w:rsid w:val="00CA515E"/>
    <w:rsid w:val="00CB44FD"/>
    <w:rsid w:val="00CC05EC"/>
    <w:rsid w:val="00CC07E1"/>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0116"/>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2ED7"/>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17EE0"/>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227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uttgart-citytour.de" TargetMode="External"/><Relationship Id="rId4" Type="http://schemas.openxmlformats.org/officeDocument/2006/relationships/settings" Target="settings.xml"/><Relationship Id="rId9" Type="http://schemas.openxmlformats.org/officeDocument/2006/relationships/hyperlink" Target="mailto:touren@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126D-E80C-4B84-BFE6-72BDFED0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12</cp:revision>
  <cp:lastPrinted>2022-12-05T16:00:00Z</cp:lastPrinted>
  <dcterms:created xsi:type="dcterms:W3CDTF">2023-11-06T13:20:00Z</dcterms:created>
  <dcterms:modified xsi:type="dcterms:W3CDTF">2025-11-26T08:52:00Z</dcterms:modified>
</cp:coreProperties>
</file>